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150F6" w14:textId="11815B0E" w:rsidR="00391173" w:rsidRDefault="00391173" w:rsidP="00391173">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#128</w:t>
      </w:r>
      <w:r>
        <w:rPr>
          <w:rFonts w:ascii="Arial" w:eastAsia="MS Mincho" w:hAnsi="Arial" w:cs="Arial"/>
          <w:b/>
          <w:sz w:val="24"/>
          <w:lang w:eastAsia="en-US"/>
        </w:rPr>
        <w:tab/>
      </w:r>
      <w:r w:rsidR="008A1388" w:rsidRPr="008A1388">
        <w:rPr>
          <w:rFonts w:ascii="Arial" w:eastAsia="MS Mincho" w:hAnsi="Arial" w:cs="Arial"/>
          <w:b/>
          <w:sz w:val="24"/>
          <w:lang w:eastAsia="en-US"/>
        </w:rPr>
        <w:t>R2-2409898</w:t>
      </w:r>
    </w:p>
    <w:p w14:paraId="494BBCCA" w14:textId="77777777" w:rsidR="00391173" w:rsidRDefault="00391173" w:rsidP="00391173">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Orlando, USA,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 22</w:t>
      </w:r>
      <w:r>
        <w:rPr>
          <w:rFonts w:ascii="Arial" w:eastAsia="MS Mincho" w:hAnsi="Arial" w:cs="Arial"/>
          <w:b/>
          <w:sz w:val="24"/>
          <w:vertAlign w:val="superscript"/>
          <w:lang w:eastAsia="en-US"/>
        </w:rPr>
        <w:t>nd</w:t>
      </w:r>
      <w:r>
        <w:rPr>
          <w:rFonts w:ascii="Arial" w:eastAsia="MS Mincho" w:hAnsi="Arial" w:cs="Arial"/>
          <w:b/>
          <w:sz w:val="24"/>
          <w:lang w:eastAsia="en-US"/>
        </w:rPr>
        <w:t xml:space="preserve"> November, 2024</w:t>
      </w:r>
    </w:p>
    <w:p w14:paraId="79967FE6" w14:textId="77777777" w:rsidR="00391173" w:rsidRDefault="00391173" w:rsidP="00391173">
      <w:pPr>
        <w:tabs>
          <w:tab w:val="left" w:pos="1701"/>
          <w:tab w:val="right" w:pos="9639"/>
        </w:tabs>
        <w:spacing w:after="240"/>
        <w:textAlignment w:val="auto"/>
        <w:rPr>
          <w:rFonts w:eastAsia="MS Mincho" w:cs="Arial"/>
          <w:b/>
          <w:sz w:val="24"/>
          <w:szCs w:val="24"/>
          <w:lang w:eastAsia="en-US"/>
        </w:rPr>
      </w:pPr>
    </w:p>
    <w:p w14:paraId="1DB597B0" w14:textId="2A8EEF58" w:rsidR="00391173" w:rsidRDefault="00391173" w:rsidP="00391173">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w:t>
      </w:r>
      <w:r w:rsidR="00FC1460">
        <w:rPr>
          <w:rFonts w:ascii="Arial" w:eastAsia="MS Mincho" w:hAnsi="Arial" w:cs="Arial"/>
          <w:b/>
          <w:sz w:val="24"/>
          <w:szCs w:val="24"/>
          <w:lang w:eastAsia="en-US"/>
        </w:rPr>
        <w:t>3</w:t>
      </w:r>
    </w:p>
    <w:p w14:paraId="5A88FB99" w14:textId="77777777" w:rsidR="00391173" w:rsidRDefault="00391173" w:rsidP="00391173">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5429136B" w14:textId="77777777" w:rsidR="00391173" w:rsidRDefault="00391173" w:rsidP="00391173">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A-IoT paging</w:t>
      </w:r>
    </w:p>
    <w:p w14:paraId="46DACCDB" w14:textId="77777777" w:rsidR="00391173" w:rsidRDefault="00391173" w:rsidP="00391173">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2F1D75B" w14:textId="77777777" w:rsidR="00391173" w:rsidRDefault="00391173" w:rsidP="00391173">
      <w:pPr>
        <w:pStyle w:val="Heading1"/>
        <w:rPr>
          <w:rFonts w:eastAsia="宋体"/>
          <w:lang w:eastAsia="zh-CN"/>
        </w:rPr>
      </w:pPr>
      <w:r>
        <w:rPr>
          <w:rFonts w:eastAsia="宋体"/>
          <w:lang w:eastAsia="zh-CN"/>
        </w:rPr>
        <w:t>1</w:t>
      </w:r>
      <w:r>
        <w:rPr>
          <w:rFonts w:eastAsia="宋体"/>
          <w:lang w:eastAsia="zh-CN"/>
        </w:rPr>
        <w:tab/>
        <w:t>Introduction</w:t>
      </w:r>
    </w:p>
    <w:p w14:paraId="22DFAA2F" w14:textId="77777777" w:rsidR="00391173" w:rsidRDefault="00391173" w:rsidP="00391173">
      <w:r>
        <w:t>In the previous RAN2 meetings, some related agreements were achieved in the following:</w:t>
      </w:r>
    </w:p>
    <w:tbl>
      <w:tblPr>
        <w:tblStyle w:val="TableGrid"/>
        <w:tblW w:w="0" w:type="auto"/>
        <w:tblLook w:val="04A0" w:firstRow="1" w:lastRow="0" w:firstColumn="1" w:lastColumn="0" w:noHBand="0" w:noVBand="1"/>
      </w:tblPr>
      <w:tblGrid>
        <w:gridCol w:w="9631"/>
      </w:tblGrid>
      <w:tr w:rsidR="00391173" w14:paraId="10B94608" w14:textId="77777777" w:rsidTr="008A0685">
        <w:tc>
          <w:tcPr>
            <w:tcW w:w="9631" w:type="dxa"/>
          </w:tcPr>
          <w:p w14:paraId="799084AB" w14:textId="77777777" w:rsidR="00391173" w:rsidRDefault="00391173" w:rsidP="008A0685">
            <w:pPr>
              <w:rPr>
                <w:rFonts w:eastAsia="等线"/>
                <w:b/>
              </w:rPr>
            </w:pPr>
            <w:r>
              <w:rPr>
                <w:rFonts w:eastAsia="等线"/>
                <w:b/>
              </w:rPr>
              <w:t>RAN2#127 agreement:</w:t>
            </w:r>
          </w:p>
          <w:p w14:paraId="383E8BC8" w14:textId="77777777" w:rsidR="00391173" w:rsidRDefault="00391173" w:rsidP="008A0685">
            <w:pPr>
              <w:rPr>
                <w:rFonts w:eastAsia="等线"/>
              </w:rPr>
            </w:pPr>
            <w:r>
              <w:rPr>
                <w:rFonts w:eastAsia="等线"/>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528554A4" w14:textId="77777777" w:rsidR="00391173" w:rsidRDefault="00391173" w:rsidP="008A0685">
            <w:pPr>
              <w:rPr>
                <w:rFonts w:eastAsia="等线"/>
              </w:rPr>
            </w:pPr>
            <w:r>
              <w:rPr>
                <w:rFonts w:eastAsia="等线"/>
              </w:rPr>
              <w:t>Based on this information the device determines whether to skip sending the response to paging. From RAN2 perspective it is feasible to support paging multiple device IDs, however depending on TB size it may not be possible to include multiple device IDs.</w:t>
            </w:r>
          </w:p>
          <w:p w14:paraId="600D0160" w14:textId="77777777" w:rsidR="00391173" w:rsidRDefault="00391173" w:rsidP="008A0685">
            <w:pPr>
              <w:rPr>
                <w:rFonts w:eastAsia="等线"/>
              </w:rPr>
            </w:pPr>
            <w:r>
              <w:rPr>
                <w:rFonts w:eastAsia="等线"/>
              </w:rPr>
              <w:t>RAN2 will determine the need for this after considering aspects related to RAN2 multiplexing and other WGs.</w:t>
            </w:r>
          </w:p>
          <w:p w14:paraId="6DFAABFE" w14:textId="77777777" w:rsidR="00391173" w:rsidRDefault="00391173" w:rsidP="008A0685">
            <w:pPr>
              <w:rPr>
                <w:rFonts w:eastAsia="等线"/>
                <w:b/>
              </w:rPr>
            </w:pPr>
            <w:r>
              <w:rPr>
                <w:rFonts w:eastAsia="等线"/>
                <w:b/>
              </w:rPr>
              <w:t>RAN2#126 agreement:</w:t>
            </w:r>
          </w:p>
          <w:p w14:paraId="44A53399" w14:textId="77777777" w:rsidR="00391173" w:rsidRDefault="00391173" w:rsidP="008A0685">
            <w:pPr>
              <w:rPr>
                <w:lang w:eastAsia="en-GB"/>
              </w:rPr>
            </w:pPr>
            <w:r>
              <w:rPr>
                <w:lang w:eastAsia="en-GB"/>
              </w:rPr>
              <w:t>From RAN2 perspective, we assume the device can receive as long as there is enough energy.  We will wait for RAN1 further progress on device monitoring details.</w:t>
            </w:r>
          </w:p>
        </w:tc>
      </w:tr>
    </w:tbl>
    <w:p w14:paraId="2EC06564" w14:textId="77777777" w:rsidR="00391173" w:rsidRDefault="00391173" w:rsidP="00391173">
      <w:pPr>
        <w:rPr>
          <w:rFonts w:eastAsia="等线"/>
        </w:rPr>
      </w:pPr>
      <w:r>
        <w:rPr>
          <w:rFonts w:eastAsia="等线"/>
        </w:rPr>
        <w:t xml:space="preserve">Based on the current RAN2 progress and focusing on the issues without conclusions, this contribution discusses </w:t>
      </w:r>
      <w:r>
        <w:rPr>
          <w:rFonts w:eastAsia="宋体"/>
          <w:lang w:eastAsia="zh-CN"/>
        </w:rPr>
        <w:t>paging message size limitation</w:t>
      </w:r>
      <w:r>
        <w:rPr>
          <w:rFonts w:eastAsia="等线"/>
        </w:rPr>
        <w:t xml:space="preserve">, paging content, and </w:t>
      </w:r>
      <w:r>
        <w:rPr>
          <w:rFonts w:eastAsia="宋体"/>
          <w:lang w:eastAsia="zh-CN"/>
        </w:rPr>
        <w:t>energy harvesting/device unavailability</w:t>
      </w:r>
      <w:r>
        <w:rPr>
          <w:rFonts w:eastAsia="等线"/>
        </w:rPr>
        <w:t xml:space="preserve">. </w:t>
      </w:r>
    </w:p>
    <w:p w14:paraId="25FE87EB" w14:textId="77777777" w:rsidR="00391173" w:rsidRDefault="00391173" w:rsidP="00391173">
      <w:pPr>
        <w:pStyle w:val="Heading1"/>
        <w:rPr>
          <w:rFonts w:eastAsia="宋体"/>
          <w:lang w:eastAsia="zh-CN"/>
        </w:rPr>
      </w:pPr>
      <w:bookmarkStart w:id="0" w:name="_Toc147158671"/>
      <w:bookmarkStart w:id="1" w:name="_Toc61387172"/>
      <w:bookmarkStart w:id="2" w:name="_Toc499559238"/>
      <w:r>
        <w:rPr>
          <w:rFonts w:eastAsia="宋体"/>
          <w:lang w:eastAsia="zh-CN"/>
        </w:rPr>
        <w:t>2</w:t>
      </w:r>
      <w:r>
        <w:rPr>
          <w:rFonts w:eastAsia="宋体"/>
          <w:lang w:eastAsia="zh-CN"/>
        </w:rPr>
        <w:tab/>
        <w:t>Discussion</w:t>
      </w:r>
      <w:bookmarkEnd w:id="0"/>
      <w:bookmarkEnd w:id="1"/>
      <w:bookmarkEnd w:id="2"/>
    </w:p>
    <w:p w14:paraId="30B10D00" w14:textId="77777777" w:rsidR="00391173" w:rsidRDefault="00391173" w:rsidP="00391173">
      <w:pPr>
        <w:pStyle w:val="Heading2"/>
        <w:rPr>
          <w:rFonts w:eastAsia="宋体"/>
          <w:lang w:eastAsia="zh-CN"/>
        </w:rPr>
      </w:pPr>
      <w:bookmarkStart w:id="3" w:name="_Toc499559239"/>
      <w:bookmarkStart w:id="4" w:name="_Toc61387173"/>
      <w:bookmarkStart w:id="5" w:name="_Toc147158672"/>
      <w:r>
        <w:rPr>
          <w:rFonts w:eastAsia="宋体"/>
          <w:lang w:eastAsia="zh-CN"/>
        </w:rPr>
        <w:t>2.1</w:t>
      </w:r>
      <w:r>
        <w:rPr>
          <w:rFonts w:eastAsia="宋体"/>
          <w:lang w:eastAsia="zh-CN"/>
        </w:rPr>
        <w:tab/>
      </w:r>
      <w:bookmarkEnd w:id="3"/>
      <w:bookmarkEnd w:id="4"/>
      <w:bookmarkEnd w:id="5"/>
      <w:r>
        <w:rPr>
          <w:rFonts w:eastAsia="宋体"/>
          <w:lang w:eastAsia="zh-CN"/>
        </w:rPr>
        <w:t>Paging message size limitation</w:t>
      </w:r>
    </w:p>
    <w:p w14:paraId="134C8F8C" w14:textId="77777777" w:rsidR="00391173" w:rsidRDefault="00391173" w:rsidP="00391173">
      <w:pPr>
        <w:textAlignment w:val="auto"/>
        <w:rPr>
          <w:rFonts w:eastAsia="等线"/>
          <w:lang w:eastAsia="zh-CN"/>
        </w:rPr>
      </w:pPr>
      <w:r>
        <w:rPr>
          <w:rFonts w:eastAsia="等线"/>
          <w:lang w:eastAsia="zh-CN"/>
        </w:rPr>
        <w:t>In RAN1#118bis meeting, agreements on TBS were achieved:</w:t>
      </w:r>
    </w:p>
    <w:tbl>
      <w:tblPr>
        <w:tblStyle w:val="TableGrid"/>
        <w:tblW w:w="0" w:type="auto"/>
        <w:tblLook w:val="04A0" w:firstRow="1" w:lastRow="0" w:firstColumn="1" w:lastColumn="0" w:noHBand="0" w:noVBand="1"/>
      </w:tblPr>
      <w:tblGrid>
        <w:gridCol w:w="9631"/>
      </w:tblGrid>
      <w:tr w:rsidR="00391173" w14:paraId="58EAB40E" w14:textId="77777777" w:rsidTr="008A0685">
        <w:tc>
          <w:tcPr>
            <w:tcW w:w="9631" w:type="dxa"/>
          </w:tcPr>
          <w:p w14:paraId="7B2B9977" w14:textId="77777777" w:rsidR="00391173" w:rsidRDefault="00391173" w:rsidP="008A0685">
            <w:pPr>
              <w:rPr>
                <w:b/>
                <w:iCs/>
                <w:highlight w:val="green"/>
              </w:rPr>
            </w:pPr>
            <w:r>
              <w:rPr>
                <w:rFonts w:eastAsia="等线"/>
                <w:b/>
              </w:rPr>
              <w:t>RAN1#118bis agreements:</w:t>
            </w:r>
          </w:p>
          <w:p w14:paraId="52AB5F7E" w14:textId="77777777" w:rsidR="00391173" w:rsidRDefault="00391173" w:rsidP="008A0685">
            <w:pPr>
              <w:rPr>
                <w:iCs/>
              </w:rPr>
            </w:pPr>
            <w:r>
              <w:rPr>
                <w:iCs/>
              </w:rPr>
              <w:t>From RAN1 perspective, there is no lower bound on the minimum TB size for R2D and D2R directions.</w:t>
            </w:r>
          </w:p>
          <w:p w14:paraId="137B48F5" w14:textId="77777777" w:rsidR="00391173" w:rsidRDefault="00391173" w:rsidP="008A0685">
            <w:pPr>
              <w:rPr>
                <w:iCs/>
              </w:rPr>
            </w:pPr>
            <w:r>
              <w:rPr>
                <w:iCs/>
              </w:rPr>
              <w:t xml:space="preserve">From RAN1 perspective, </w:t>
            </w:r>
            <w:r>
              <w:rPr>
                <w:iCs/>
                <w:highlight w:val="yellow"/>
              </w:rPr>
              <w:t>a maximum TB size of around 1000 bits in PHY for R2D and D2R directions can be supported</w:t>
            </w:r>
            <w:r>
              <w:rPr>
                <w:iCs/>
              </w:rPr>
              <w:t>.</w:t>
            </w:r>
          </w:p>
          <w:p w14:paraId="7BAA8CDB" w14:textId="77777777" w:rsidR="00391173" w:rsidRDefault="00391173" w:rsidP="00391173">
            <w:pPr>
              <w:numPr>
                <w:ilvl w:val="0"/>
                <w:numId w:val="19"/>
              </w:numPr>
              <w:overflowPunct/>
              <w:autoSpaceDE/>
              <w:autoSpaceDN/>
              <w:adjustRightInd/>
              <w:spacing w:before="0" w:after="0"/>
              <w:textAlignment w:val="auto"/>
              <w:rPr>
                <w:iCs/>
                <w:color w:val="000000"/>
              </w:rPr>
            </w:pPr>
            <w:proofErr w:type="gramStart"/>
            <w:r>
              <w:rPr>
                <w:iCs/>
                <w:color w:val="000000"/>
              </w:rPr>
              <w:t>How</w:t>
            </w:r>
            <w:proofErr w:type="gramEnd"/>
            <w:r>
              <w:rPr>
                <w:iCs/>
                <w:color w:val="000000"/>
              </w:rPr>
              <w:t xml:space="preserve"> large TB that can be transported at a given time depends on target coverage/data rate, energy consumption/device availability, etc..</w:t>
            </w:r>
          </w:p>
        </w:tc>
      </w:tr>
    </w:tbl>
    <w:p w14:paraId="3F0A58B9" w14:textId="77777777" w:rsidR="00391173" w:rsidRDefault="00391173" w:rsidP="00391173">
      <w:pPr>
        <w:textAlignment w:val="auto"/>
        <w:rPr>
          <w:rFonts w:eastAsia="等线"/>
          <w:lang w:eastAsia="zh-CN"/>
        </w:rPr>
      </w:pPr>
      <w:r>
        <w:rPr>
          <w:rFonts w:eastAsia="等线"/>
          <w:lang w:eastAsia="zh-CN"/>
        </w:rPr>
        <w:t>Based on the above conclusions, from RAN2 perspective, any R2D and D2R message, including paging, R2D command, etc., should be limited by the maximum TB size of around 1000 bits defined by RAN1.</w:t>
      </w:r>
    </w:p>
    <w:p w14:paraId="709A0297" w14:textId="64E2BAF1" w:rsidR="00FC1460" w:rsidRDefault="00FC1460" w:rsidP="0039287A">
      <w:pPr>
        <w:pStyle w:val="Observation-HW"/>
      </w:pPr>
      <w:r>
        <w:lastRenderedPageBreak/>
        <w:t xml:space="preserve">Observation </w:t>
      </w:r>
      <w:r w:rsidR="00391173">
        <w:t>1:</w:t>
      </w:r>
      <w:r w:rsidR="00391173">
        <w:tab/>
        <w:t>RAN2 assume</w:t>
      </w:r>
      <w:r>
        <w:t>s</w:t>
      </w:r>
      <w:r w:rsidR="00391173">
        <w:t xml:space="preserve"> </w:t>
      </w:r>
      <w:r>
        <w:t xml:space="preserve">the limitation </w:t>
      </w:r>
      <w:r w:rsidR="00391173">
        <w:t xml:space="preserve">paging and any other R2D message </w:t>
      </w:r>
      <w:r>
        <w:t xml:space="preserve">should </w:t>
      </w:r>
      <w:r w:rsidR="00391173">
        <w:t xml:space="preserve">follow the </w:t>
      </w:r>
      <w:r>
        <w:t xml:space="preserve">physical layer </w:t>
      </w:r>
      <w:r w:rsidR="00391173">
        <w:t>max</w:t>
      </w:r>
      <w:r>
        <w:t>imum</w:t>
      </w:r>
      <w:r w:rsidR="00391173">
        <w:t xml:space="preserve"> TBS value (</w:t>
      </w:r>
      <w:proofErr w:type="gramStart"/>
      <w:r w:rsidR="00391173">
        <w:t>e.g.</w:t>
      </w:r>
      <w:proofErr w:type="gramEnd"/>
      <w:r w:rsidR="00391173">
        <w:t xml:space="preserve"> around 1000 bits)</w:t>
      </w:r>
      <w:r>
        <w:t>.</w:t>
      </w:r>
    </w:p>
    <w:p w14:paraId="0AFA90AB" w14:textId="692A98AC" w:rsidR="00391173" w:rsidRDefault="00FC1460" w:rsidP="0039287A">
      <w:pPr>
        <w:pStyle w:val="Observation-HW"/>
        <w:rPr>
          <w:rFonts w:eastAsia="等线"/>
          <w:lang w:eastAsia="zh-CN"/>
        </w:rPr>
      </w:pPr>
      <w:r>
        <w:t>Observation 2:</w:t>
      </w:r>
      <w:r>
        <w:tab/>
        <w:t>The A-IoT paging message size</w:t>
      </w:r>
      <w:r w:rsidRPr="00FC1460">
        <w:t xml:space="preserve"> </w:t>
      </w:r>
      <w:r>
        <w:t>limitation/capacity discussion should be postponed to stage-3 phase</w:t>
      </w:r>
      <w:r w:rsidR="002123FA">
        <w:t xml:space="preserve"> (e.g., after the decision on the content of A-IoT paging message)</w:t>
      </w:r>
      <w:r w:rsidR="005E7EF2">
        <w:t>.</w:t>
      </w:r>
    </w:p>
    <w:p w14:paraId="498CB355" w14:textId="2406CE93" w:rsidR="00391173" w:rsidRDefault="00391173" w:rsidP="00391173">
      <w:pPr>
        <w:pStyle w:val="Heading2"/>
        <w:rPr>
          <w:rFonts w:eastAsia="宋体"/>
          <w:lang w:eastAsia="zh-CN"/>
        </w:rPr>
      </w:pPr>
      <w:r>
        <w:rPr>
          <w:rFonts w:eastAsia="宋体"/>
          <w:lang w:eastAsia="zh-CN"/>
        </w:rPr>
        <w:t>2.2</w:t>
      </w:r>
      <w:r>
        <w:rPr>
          <w:rFonts w:eastAsia="宋体"/>
          <w:lang w:eastAsia="zh-CN"/>
        </w:rPr>
        <w:tab/>
        <w:t xml:space="preserve">Paging </w:t>
      </w:r>
      <w:r w:rsidR="00E05C32">
        <w:rPr>
          <w:rFonts w:eastAsia="宋体"/>
          <w:lang w:eastAsia="zh-CN"/>
        </w:rPr>
        <w:t xml:space="preserve">message </w:t>
      </w:r>
      <w:r>
        <w:rPr>
          <w:rFonts w:eastAsia="宋体"/>
          <w:lang w:eastAsia="zh-CN"/>
        </w:rPr>
        <w:t>content</w:t>
      </w:r>
      <w:r w:rsidR="00E05C32">
        <w:rPr>
          <w:rFonts w:eastAsia="宋体"/>
          <w:lang w:eastAsia="zh-CN"/>
        </w:rPr>
        <w:t xml:space="preserve"> to device</w:t>
      </w:r>
    </w:p>
    <w:p w14:paraId="35C89B19" w14:textId="5671DB94" w:rsidR="00391173" w:rsidRDefault="00391173" w:rsidP="00391173">
      <w:pPr>
        <w:rPr>
          <w:rFonts w:eastAsia="等线"/>
          <w:lang w:eastAsia="zh-CN"/>
        </w:rPr>
      </w:pPr>
      <w:r>
        <w:rPr>
          <w:rFonts w:eastAsia="等线"/>
          <w:lang w:eastAsia="zh-CN"/>
        </w:rPr>
        <w:t>In previous discussion, it was proposed to add service/command type in the paging message</w:t>
      </w:r>
      <w:r w:rsidR="00616043">
        <w:rPr>
          <w:rFonts w:eastAsia="等线"/>
          <w:lang w:eastAsia="zh-CN"/>
        </w:rPr>
        <w:t xml:space="preserve"> by other companies</w:t>
      </w:r>
      <w:r>
        <w:rPr>
          <w:rFonts w:eastAsia="等线"/>
          <w:lang w:eastAsia="zh-CN"/>
        </w:rPr>
        <w:t>. The motivations from company papers include:</w:t>
      </w:r>
    </w:p>
    <w:p w14:paraId="6BF2D20A" w14:textId="2D93F3EB" w:rsidR="00391173" w:rsidRDefault="00391173" w:rsidP="00391173">
      <w:pPr>
        <w:rPr>
          <w:rFonts w:eastAsia="等线"/>
          <w:lang w:eastAsia="zh-CN"/>
        </w:rPr>
      </w:pPr>
      <w:r>
        <w:rPr>
          <w:rFonts w:eastAsia="等线"/>
          <w:lang w:eastAsia="zh-CN"/>
        </w:rPr>
        <w:t xml:space="preserve">1. Devices can know how to perform random access, </w:t>
      </w:r>
      <w:proofErr w:type="gramStart"/>
      <w:r>
        <w:rPr>
          <w:rFonts w:eastAsia="等线"/>
          <w:lang w:eastAsia="zh-CN"/>
        </w:rPr>
        <w:t>e.g.</w:t>
      </w:r>
      <w:proofErr w:type="gramEnd"/>
      <w:r>
        <w:rPr>
          <w:rFonts w:eastAsia="等线"/>
          <w:lang w:eastAsia="zh-CN"/>
        </w:rPr>
        <w:t xml:space="preserve"> CF</w:t>
      </w:r>
      <w:r>
        <w:rPr>
          <w:rFonts w:eastAsia="等线" w:hint="eastAsia"/>
          <w:lang w:eastAsia="zh-CN"/>
        </w:rPr>
        <w:t>RA</w:t>
      </w:r>
      <w:r>
        <w:rPr>
          <w:rFonts w:eastAsia="等线"/>
          <w:lang w:eastAsia="zh-CN"/>
        </w:rPr>
        <w:t xml:space="preserve"> or CBRA, how may steps, </w:t>
      </w:r>
      <w:bookmarkStart w:id="6" w:name="_Hlk181193622"/>
      <w:r>
        <w:rPr>
          <w:rFonts w:eastAsia="等线"/>
          <w:lang w:eastAsia="zh-CN"/>
        </w:rPr>
        <w:t xml:space="preserve">by differentiating inventory case </w:t>
      </w:r>
      <w:bookmarkEnd w:id="6"/>
      <w:r>
        <w:rPr>
          <w:rFonts w:eastAsia="等线"/>
          <w:lang w:eastAsia="zh-CN"/>
        </w:rPr>
        <w:t>or command case. However, we understand there is no direct mapping from service type to random access type, and service type itself is not sufficient to indicate the configuration of random access</w:t>
      </w:r>
      <w:r w:rsidR="00616043">
        <w:rPr>
          <w:rFonts w:eastAsia="等线"/>
          <w:lang w:eastAsia="zh-CN"/>
        </w:rPr>
        <w:t>. T</w:t>
      </w:r>
      <w:r>
        <w:rPr>
          <w:rFonts w:eastAsia="等线"/>
          <w:lang w:eastAsia="zh-CN"/>
        </w:rPr>
        <w:t>he reader needs to include the number of access occasions, the location of the radio resource, the association between radio resource and a dedicated device in case of CFRA</w:t>
      </w:r>
      <w:r w:rsidR="00616043">
        <w:rPr>
          <w:rFonts w:eastAsia="等线"/>
          <w:lang w:eastAsia="zh-CN"/>
        </w:rPr>
        <w:t>. Then,</w:t>
      </w:r>
      <w:r>
        <w:rPr>
          <w:rFonts w:eastAsia="等线"/>
          <w:lang w:eastAsia="zh-CN"/>
        </w:rPr>
        <w:t xml:space="preserve"> with those configurations, the devices should be clear on how to perform random access. Therefore, the service type indication for this purpose is not </w:t>
      </w:r>
      <w:r w:rsidR="00E7008F">
        <w:rPr>
          <w:rFonts w:eastAsia="等线"/>
          <w:lang w:eastAsia="zh-CN"/>
        </w:rPr>
        <w:t>valid</w:t>
      </w:r>
      <w:r>
        <w:rPr>
          <w:rFonts w:eastAsia="等线"/>
          <w:lang w:eastAsia="zh-CN"/>
        </w:rPr>
        <w:t xml:space="preserve">. </w:t>
      </w:r>
    </w:p>
    <w:p w14:paraId="5D70C02B" w14:textId="352757AD" w:rsidR="00391173" w:rsidRDefault="00391173" w:rsidP="00391173">
      <w:pPr>
        <w:rPr>
          <w:rFonts w:eastAsia="等线"/>
          <w:lang w:eastAsia="zh-CN"/>
        </w:rPr>
      </w:pPr>
      <w:r>
        <w:rPr>
          <w:rFonts w:eastAsia="等线"/>
          <w:lang w:eastAsia="zh-CN"/>
        </w:rPr>
        <w:t>2. Devices can know when to stop R2D monitoring after sending msg3 by differentiating inventory case and inventory</w:t>
      </w:r>
      <w:r w:rsidR="0055123E">
        <w:rPr>
          <w:rFonts w:eastAsia="等线"/>
          <w:lang w:eastAsia="zh-CN"/>
        </w:rPr>
        <w:t xml:space="preserve"> </w:t>
      </w:r>
      <w:r>
        <w:rPr>
          <w:rFonts w:eastAsia="等线"/>
          <w:lang w:eastAsia="zh-CN"/>
        </w:rPr>
        <w:t>+</w:t>
      </w:r>
      <w:r w:rsidR="0055123E">
        <w:rPr>
          <w:rFonts w:eastAsia="等线"/>
          <w:lang w:eastAsia="zh-CN"/>
        </w:rPr>
        <w:t xml:space="preserve"> </w:t>
      </w:r>
      <w:r>
        <w:rPr>
          <w:rFonts w:eastAsia="等线"/>
          <w:lang w:eastAsia="zh-CN"/>
        </w:rPr>
        <w:t>command case. For instance, in inventory-only case, the device can stop monitoring R2D messages once it sends msg3, while in inventory</w:t>
      </w:r>
      <w:r w:rsidR="0055123E">
        <w:rPr>
          <w:rFonts w:eastAsia="等线"/>
          <w:lang w:eastAsia="zh-CN"/>
        </w:rPr>
        <w:t xml:space="preserve"> </w:t>
      </w:r>
      <w:r>
        <w:rPr>
          <w:rFonts w:eastAsia="等线"/>
          <w:lang w:eastAsia="zh-CN"/>
        </w:rPr>
        <w:t>+</w:t>
      </w:r>
      <w:r w:rsidR="0055123E">
        <w:rPr>
          <w:rFonts w:eastAsia="等线"/>
          <w:lang w:eastAsia="zh-CN"/>
        </w:rPr>
        <w:t xml:space="preserve"> </w:t>
      </w:r>
      <w:r>
        <w:rPr>
          <w:rFonts w:eastAsia="等线"/>
          <w:lang w:eastAsia="zh-CN"/>
        </w:rPr>
        <w:t xml:space="preserve">command case, it should continue receiving R2D command after sending msg3. However, since an </w:t>
      </w:r>
      <w:r>
        <w:t>explicit R2D failure/success feedback indication was agreed in last meeting for at least MSG3 for re-access purpose</w:t>
      </w:r>
      <w:r>
        <w:rPr>
          <w:rFonts w:eastAsia="等线"/>
          <w:lang w:eastAsia="zh-CN"/>
        </w:rPr>
        <w:t xml:space="preserve">, the device needs to monitor this indicator in any cases after sending msg3. If there is a following R2D command, the reader should send the R2D command to the device when the device is monitoring, then the device knows there is following command procedure. </w:t>
      </w:r>
      <w:r w:rsidR="00F7151B">
        <w:rPr>
          <w:rFonts w:eastAsia="等线"/>
          <w:lang w:eastAsia="zh-CN"/>
        </w:rPr>
        <w:t xml:space="preserve">In addition, the default behaviour should be continuously monitoring, considering the possible coming paging message for the new service. </w:t>
      </w:r>
      <w:r>
        <w:rPr>
          <w:rFonts w:eastAsia="等线"/>
          <w:lang w:eastAsia="zh-CN"/>
        </w:rPr>
        <w:t xml:space="preserve">Therefore, no addition indication </w:t>
      </w:r>
      <w:r w:rsidR="00F7151B">
        <w:rPr>
          <w:rFonts w:eastAsia="等线"/>
          <w:lang w:eastAsia="zh-CN"/>
        </w:rPr>
        <w:t xml:space="preserve">on the service type </w:t>
      </w:r>
      <w:r>
        <w:rPr>
          <w:rFonts w:eastAsia="等线"/>
          <w:lang w:eastAsia="zh-CN"/>
        </w:rPr>
        <w:t xml:space="preserve">in paging is needed. </w:t>
      </w:r>
    </w:p>
    <w:p w14:paraId="4989193F" w14:textId="21511B00" w:rsidR="00391173" w:rsidRDefault="00391173" w:rsidP="00391173">
      <w:pPr>
        <w:rPr>
          <w:rFonts w:eastAsia="等线"/>
          <w:lang w:eastAsia="zh-CN"/>
        </w:rPr>
      </w:pPr>
      <w:r>
        <w:rPr>
          <w:rFonts w:eastAsia="等线"/>
          <w:lang w:eastAsia="zh-CN"/>
        </w:rPr>
        <w:t xml:space="preserve">3. </w:t>
      </w:r>
      <w:r>
        <w:rPr>
          <w:rFonts w:eastAsia="等线" w:hint="eastAsia"/>
          <w:lang w:eastAsia="zh-CN"/>
        </w:rPr>
        <w:t>D</w:t>
      </w:r>
      <w:r>
        <w:rPr>
          <w:rFonts w:eastAsia="等线"/>
          <w:lang w:eastAsia="zh-CN"/>
        </w:rPr>
        <w:t>evices can know whether to include command response after random access procedure, by differencing different command types (reader/</w:t>
      </w:r>
      <w:proofErr w:type="spellStart"/>
      <w:r>
        <w:rPr>
          <w:rFonts w:eastAsia="等线"/>
          <w:lang w:eastAsia="zh-CN"/>
        </w:rPr>
        <w:t>write</w:t>
      </w:r>
      <w:proofErr w:type="spellEnd"/>
      <w:r>
        <w:rPr>
          <w:rFonts w:eastAsia="等线"/>
          <w:lang w:eastAsia="zh-CN"/>
        </w:rPr>
        <w:t>/disable). This motivation seems to</w:t>
      </w:r>
      <w:r w:rsidR="00F00FB4">
        <w:rPr>
          <w:rFonts w:eastAsia="等线"/>
          <w:lang w:eastAsia="zh-CN"/>
        </w:rPr>
        <w:t xml:space="preserve"> be</w:t>
      </w:r>
      <w:r>
        <w:rPr>
          <w:rFonts w:eastAsia="等线"/>
          <w:lang w:eastAsia="zh-CN"/>
        </w:rPr>
        <w:t xml:space="preserve"> only for command-only procedure, </w:t>
      </w:r>
      <w:proofErr w:type="gramStart"/>
      <w:r>
        <w:rPr>
          <w:rFonts w:eastAsia="等线"/>
          <w:lang w:eastAsia="zh-CN"/>
        </w:rPr>
        <w:t>i.e.</w:t>
      </w:r>
      <w:proofErr w:type="gramEnd"/>
      <w:r>
        <w:rPr>
          <w:rFonts w:eastAsia="等线"/>
          <w:lang w:eastAsia="zh-CN"/>
        </w:rPr>
        <w:t xml:space="preserve"> </w:t>
      </w:r>
      <w:r w:rsidR="00AF5884">
        <w:rPr>
          <w:rFonts w:eastAsia="等线"/>
          <w:lang w:eastAsia="zh-CN"/>
        </w:rPr>
        <w:t xml:space="preserve">when the </w:t>
      </w:r>
      <w:r>
        <w:rPr>
          <w:rFonts w:eastAsia="等线"/>
          <w:lang w:eastAsia="zh-CN"/>
        </w:rPr>
        <w:t>command is included in paging message, and the device is aware of the command type via the content of the command message</w:t>
      </w:r>
      <w:r w:rsidR="00AF5884">
        <w:rPr>
          <w:rFonts w:eastAsia="等线"/>
          <w:lang w:eastAsia="zh-CN"/>
        </w:rPr>
        <w:t>. S</w:t>
      </w:r>
      <w:r>
        <w:rPr>
          <w:rFonts w:eastAsia="等线"/>
          <w:lang w:eastAsia="zh-CN"/>
        </w:rPr>
        <w:t xml:space="preserve">o </w:t>
      </w:r>
      <w:r w:rsidR="00AF5884">
        <w:rPr>
          <w:rFonts w:eastAsia="等线"/>
          <w:lang w:eastAsia="zh-CN"/>
        </w:rPr>
        <w:t xml:space="preserve">such </w:t>
      </w:r>
      <w:r>
        <w:rPr>
          <w:rFonts w:eastAsia="等线"/>
          <w:lang w:eastAsia="zh-CN"/>
        </w:rPr>
        <w:t xml:space="preserve">indication in AS message is </w:t>
      </w:r>
      <w:r w:rsidR="00AF5884">
        <w:rPr>
          <w:rFonts w:eastAsia="等线"/>
          <w:lang w:eastAsia="zh-CN"/>
        </w:rPr>
        <w:t>unnecessary</w:t>
      </w:r>
      <w:r>
        <w:rPr>
          <w:rFonts w:eastAsia="等线"/>
          <w:lang w:eastAsia="zh-CN"/>
        </w:rPr>
        <w:t xml:space="preserve">.  </w:t>
      </w:r>
    </w:p>
    <w:p w14:paraId="2B9A67BF" w14:textId="3F858AF1" w:rsidR="00391173" w:rsidRDefault="00391173" w:rsidP="00391173">
      <w:pPr>
        <w:rPr>
          <w:rFonts w:eastAsia="等线"/>
          <w:lang w:eastAsia="zh-CN"/>
        </w:rPr>
      </w:pPr>
      <w:r>
        <w:rPr>
          <w:rFonts w:eastAsia="等线"/>
          <w:lang w:eastAsia="zh-CN"/>
        </w:rPr>
        <w:t xml:space="preserve">Based on above discussion, we understand </w:t>
      </w:r>
      <w:r w:rsidR="00F00FB4">
        <w:rPr>
          <w:rFonts w:eastAsia="等线"/>
          <w:lang w:eastAsia="zh-CN"/>
        </w:rPr>
        <w:t xml:space="preserve">that, </w:t>
      </w:r>
      <w:r>
        <w:rPr>
          <w:rFonts w:eastAsia="等线"/>
          <w:lang w:eastAsia="zh-CN"/>
        </w:rPr>
        <w:t>from device perspective, there is no need to identify the service/command type of current service for AS operation purpose.</w:t>
      </w:r>
      <w:r w:rsidR="00D9161F">
        <w:rPr>
          <w:rFonts w:eastAsia="等线"/>
          <w:lang w:eastAsia="zh-CN"/>
        </w:rPr>
        <w:t xml:space="preserve"> However, the device upper layer is visible to th</w:t>
      </w:r>
      <w:r w:rsidR="00701437">
        <w:rPr>
          <w:rFonts w:eastAsia="等线"/>
          <w:lang w:eastAsia="zh-CN"/>
        </w:rPr>
        <w:t>e service type based on the received upper layer inventor/command content.</w:t>
      </w:r>
      <w:r>
        <w:rPr>
          <w:rFonts w:eastAsia="等线"/>
          <w:lang w:eastAsia="zh-CN"/>
        </w:rPr>
        <w:t xml:space="preserve"> Upon reception of paging message, the device just performs the random</w:t>
      </w:r>
      <w:r w:rsidR="001171EF">
        <w:rPr>
          <w:rFonts w:eastAsia="等线"/>
          <w:lang w:eastAsia="zh-CN"/>
        </w:rPr>
        <w:t xml:space="preserve"> </w:t>
      </w:r>
      <w:r>
        <w:rPr>
          <w:rFonts w:eastAsia="等线"/>
          <w:lang w:eastAsia="zh-CN"/>
        </w:rPr>
        <w:t>access procedure as indicated by the paging message and sends device ID in msg3. After that, regarding whether there will be a following R2D command and how to response the R2D command, from AS perspective, the device just needs to monitor the potential R2D message, and performs D2R transmission according to what it has received from the reader. If command-only case is to be supported (the decision is subject to SA3/SA2 LS response), the device behaviour is similar, i.e.</w:t>
      </w:r>
      <w:r w:rsidR="001171EF">
        <w:rPr>
          <w:rFonts w:eastAsia="等线"/>
          <w:lang w:eastAsia="zh-CN"/>
        </w:rPr>
        <w:t>,</w:t>
      </w:r>
      <w:r>
        <w:rPr>
          <w:rFonts w:eastAsia="等线"/>
          <w:lang w:eastAsia="zh-CN"/>
        </w:rPr>
        <w:t xml:space="preserve"> it will first receive command in paging message and then r</w:t>
      </w:r>
      <w:r>
        <w:rPr>
          <w:rFonts w:eastAsia="等线" w:hint="eastAsia"/>
          <w:lang w:eastAsia="zh-CN"/>
        </w:rPr>
        <w:t>es</w:t>
      </w:r>
      <w:r>
        <w:rPr>
          <w:rFonts w:eastAsia="等线"/>
          <w:lang w:eastAsia="zh-CN"/>
        </w:rPr>
        <w:t xml:space="preserve">pond according to command content. Therefore, service/command type is not necessary to be visible for device. </w:t>
      </w:r>
    </w:p>
    <w:p w14:paraId="5D8AC667" w14:textId="2F16CE4F" w:rsidR="00391173" w:rsidRDefault="00391173" w:rsidP="00391173">
      <w:pPr>
        <w:pStyle w:val="Proposal-HW"/>
      </w:pPr>
      <w:r>
        <w:t xml:space="preserve">Proposal </w:t>
      </w:r>
      <w:r w:rsidR="00A17E77">
        <w:t>1</w:t>
      </w:r>
      <w:r>
        <w:t>:</w:t>
      </w:r>
      <w:r>
        <w:tab/>
        <w:t xml:space="preserve">There is no need to include service/command type </w:t>
      </w:r>
      <w:r w:rsidR="0055123E">
        <w:t xml:space="preserve">as the explicit AS layer </w:t>
      </w:r>
      <w:r>
        <w:t>information in A-IoT paging message.</w:t>
      </w:r>
    </w:p>
    <w:p w14:paraId="2FEA4A37" w14:textId="77777777" w:rsidR="00391173" w:rsidRDefault="00391173" w:rsidP="00391173">
      <w:pPr>
        <w:jc w:val="both"/>
      </w:pPr>
      <w:r>
        <w:t>Some companies proposed to support parallel services which interleave in the time domain. By reading company contributions, we see there may be two different scenarios from different companies, i.e., parallel services are initialized by two adjacent readers (scenario 1 as shown in Figure 2.2-1) or by one reader (scenario 2).</w:t>
      </w:r>
    </w:p>
    <w:p w14:paraId="4A2DEFEE" w14:textId="77777777" w:rsidR="00391173" w:rsidRDefault="00391173" w:rsidP="00391173">
      <w:pPr>
        <w:jc w:val="center"/>
        <w:rPr>
          <w:rFonts w:eastAsiaTheme="minorEastAsia"/>
        </w:rPr>
      </w:pPr>
      <w:r>
        <w:rPr>
          <w:rFonts w:eastAsiaTheme="minorEastAsia"/>
          <w:noProof/>
          <w:lang w:val="en-US" w:eastAsia="zh-CN"/>
        </w:rPr>
        <w:drawing>
          <wp:inline distT="0" distB="0" distL="0" distR="0" wp14:anchorId="5BD45809" wp14:editId="7C42379E">
            <wp:extent cx="4391025" cy="94297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91025" cy="942975"/>
                    </a:xfrm>
                    <a:prstGeom prst="rect">
                      <a:avLst/>
                    </a:prstGeom>
                    <a:noFill/>
                    <a:ln>
                      <a:noFill/>
                    </a:ln>
                  </pic:spPr>
                </pic:pic>
              </a:graphicData>
            </a:graphic>
          </wp:inline>
        </w:drawing>
      </w:r>
    </w:p>
    <w:p w14:paraId="5F5A5008" w14:textId="77777777" w:rsidR="00391173" w:rsidRDefault="00391173" w:rsidP="00391173">
      <w:pPr>
        <w:pStyle w:val="TF"/>
        <w:rPr>
          <w:rFonts w:eastAsia="等线"/>
          <w:lang w:eastAsia="zh-CN"/>
        </w:rPr>
      </w:pPr>
      <w:r>
        <w:rPr>
          <w:rFonts w:eastAsia="等线"/>
          <w:lang w:eastAsia="zh-CN"/>
        </w:rPr>
        <w:t>Figure 2.2-1</w:t>
      </w:r>
      <w:r>
        <w:rPr>
          <w:rFonts w:eastAsia="等线"/>
          <w:lang w:eastAsia="zh-CN"/>
        </w:rPr>
        <w:tab/>
      </w:r>
      <w:r>
        <w:rPr>
          <w:rFonts w:eastAsia="等线"/>
          <w:lang w:eastAsia="zh-CN"/>
        </w:rPr>
        <w:tab/>
        <w:t>Device in an overlapped coverage of two readers</w:t>
      </w:r>
    </w:p>
    <w:p w14:paraId="26BD2331" w14:textId="77777777" w:rsidR="00391173" w:rsidRDefault="00391173" w:rsidP="00391173">
      <w:pPr>
        <w:jc w:val="both"/>
      </w:pPr>
      <w:r>
        <w:t xml:space="preserve">Regarding scenario 1, we also agree that it is possible that some devices are in the overlapping area between two readers in the real deployment. But considering the interference issue, if the two readers send R2D messages at the same time, the reception of R2D messages at device will fail. Therefore, the proper implementation should be that two readers </w:t>
      </w:r>
      <w:r>
        <w:lastRenderedPageBreak/>
        <w:t xml:space="preserve">perform services in TDM manner to avoid interference. Then the devices do not need to differentiate readers, instead, the devices just monitor and process the paging messages it successfully received. </w:t>
      </w:r>
    </w:p>
    <w:p w14:paraId="70BCD8F2" w14:textId="77777777" w:rsidR="007A4A93" w:rsidRDefault="007A4A93" w:rsidP="007A4A93">
      <w:pPr>
        <w:tabs>
          <w:tab w:val="left" w:pos="425"/>
        </w:tabs>
        <w:textAlignment w:val="auto"/>
        <w:rPr>
          <w:rFonts w:eastAsia="等线"/>
          <w:lang w:eastAsia="zh-CN"/>
        </w:rPr>
      </w:pPr>
      <w:r>
        <w:rPr>
          <w:rFonts w:eastAsia="等线"/>
          <w:lang w:eastAsia="zh-CN"/>
        </w:rPr>
        <w:t>There is also use case mentioned in company contributions which is to track devices moving among readers. In this use case, the device needs to be able to differentiate different readers, and only responses to the paging message when it moves to the coverage of a new reader. The impact to device complexity and signalling design should be similar to the scenario 2. On the other hand, we think the use case can be achieved by periodical inventory, and the network can track the device mobility by comparing the device ID received from different readers. Then considering the specification impact, we do not think this use case is essential in this release.</w:t>
      </w:r>
    </w:p>
    <w:p w14:paraId="40FBD1F0" w14:textId="57901C86" w:rsidR="00391173" w:rsidRDefault="00391173" w:rsidP="00391173">
      <w:pPr>
        <w:pStyle w:val="Observation-HW"/>
      </w:pPr>
      <w:r>
        <w:t xml:space="preserve">Observation </w:t>
      </w:r>
      <w:r w:rsidR="00A17E77">
        <w:t>3</w:t>
      </w:r>
      <w:r>
        <w:t>:</w:t>
      </w:r>
      <w:r>
        <w:tab/>
        <w:t>To avoid</w:t>
      </w:r>
      <w:r w:rsidR="00DE428A">
        <w:t xml:space="preserve"> the</w:t>
      </w:r>
      <w:r>
        <w:t xml:space="preserve"> interference to device’s R2D reception, two readers </w:t>
      </w:r>
      <w:r w:rsidR="00DE428A">
        <w:t xml:space="preserve">should </w:t>
      </w:r>
      <w:r>
        <w:t xml:space="preserve">not </w:t>
      </w:r>
      <w:r w:rsidR="00DE428A">
        <w:t>transmit R2D message</w:t>
      </w:r>
      <w:r w:rsidR="008F2EC6">
        <w:t>s</w:t>
      </w:r>
      <w:r>
        <w:t xml:space="preserve"> at the same time.</w:t>
      </w:r>
    </w:p>
    <w:p w14:paraId="17B1B470" w14:textId="6654F2CF" w:rsidR="00391173" w:rsidRDefault="00860BCE" w:rsidP="0039287A">
      <w:pPr>
        <w:pStyle w:val="Observation-HW"/>
      </w:pPr>
      <w:r>
        <w:t xml:space="preserve">Observation </w:t>
      </w:r>
      <w:r w:rsidR="00A17E77">
        <w:t>4</w:t>
      </w:r>
      <w:r w:rsidR="00391173">
        <w:t>:</w:t>
      </w:r>
      <w:r w:rsidR="00391173">
        <w:tab/>
      </w:r>
      <w:r w:rsidR="00391173" w:rsidRPr="0039287A">
        <w:t>E</w:t>
      </w:r>
      <w:r w:rsidR="00391173">
        <w:t xml:space="preserve">ven in the overlapping area, the devices do not need to differentiate different readers, but just monitor and handle the paging messages it successfully received, which means reader ID is not needed to be included in paging message.   </w:t>
      </w:r>
    </w:p>
    <w:p w14:paraId="7B7890F1" w14:textId="518B435D" w:rsidR="00860BCE" w:rsidRDefault="00860BCE" w:rsidP="00860BCE">
      <w:pPr>
        <w:pStyle w:val="Proposal-HW"/>
      </w:pPr>
      <w:r>
        <w:t xml:space="preserve">Proposal </w:t>
      </w:r>
      <w:r w:rsidR="00A17E77">
        <w:t>2</w:t>
      </w:r>
      <w:r>
        <w:t>:</w:t>
      </w:r>
      <w:r>
        <w:tab/>
        <w:t>Reader ID is not needed to be included in paging message. For multiple reader overlapping area handling, it can be further discussed together with how to handle the redundant paging response issue.</w:t>
      </w:r>
    </w:p>
    <w:p w14:paraId="1763F4C5" w14:textId="77777777" w:rsidR="00391173" w:rsidRDefault="00391173" w:rsidP="00391173">
      <w:pPr>
        <w:jc w:val="both"/>
        <w:rPr>
          <w:rFonts w:eastAsia="等线"/>
          <w:lang w:eastAsia="zh-CN"/>
        </w:rPr>
      </w:pPr>
      <w:r>
        <w:t xml:space="preserve">In scenario 2, the motivation seems to let the devices handle parallel services triggered by a reader, and we try to understand the procedure which is shown in the </w:t>
      </w:r>
      <w:r>
        <w:rPr>
          <w:rFonts w:eastAsia="等线"/>
          <w:lang w:eastAsia="zh-CN"/>
        </w:rPr>
        <w:t>Figure 2.2-2.</w:t>
      </w:r>
    </w:p>
    <w:p w14:paraId="70B1F95D" w14:textId="77777777" w:rsidR="00391173" w:rsidRDefault="00391173" w:rsidP="00391173">
      <w:pPr>
        <w:jc w:val="center"/>
        <w:rPr>
          <w:rFonts w:eastAsiaTheme="minorEastAsia"/>
        </w:rPr>
      </w:pPr>
      <w:r>
        <w:rPr>
          <w:rFonts w:eastAsiaTheme="minorEastAsia"/>
        </w:rPr>
        <w:object w:dxaOrig="8303" w:dyaOrig="5040" w14:anchorId="46E08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252pt" o:ole="">
            <v:imagedata r:id="rId10" o:title=""/>
          </v:shape>
          <o:OLEObject Type="Embed" ProgID="Word.Document.12" ShapeID="_x0000_i1025" DrawAspect="Content" ObjectID="_1792581933" r:id="rId11"/>
        </w:object>
      </w:r>
    </w:p>
    <w:p w14:paraId="76B84FC8" w14:textId="08243EF4" w:rsidR="00391173" w:rsidRDefault="00391173" w:rsidP="00391173">
      <w:pPr>
        <w:pStyle w:val="TF"/>
        <w:rPr>
          <w:rFonts w:eastAsiaTheme="minorEastAsia"/>
        </w:rPr>
      </w:pPr>
      <w:r>
        <w:rPr>
          <w:rFonts w:eastAsia="等线"/>
          <w:lang w:eastAsia="zh-CN"/>
        </w:rPr>
        <w:t>Figure 2.2-2</w:t>
      </w:r>
      <w:r>
        <w:rPr>
          <w:rFonts w:eastAsia="等线"/>
          <w:lang w:eastAsia="zh-CN"/>
        </w:rPr>
        <w:tab/>
      </w:r>
      <w:r>
        <w:rPr>
          <w:rFonts w:eastAsia="等线"/>
          <w:lang w:eastAsia="zh-CN"/>
        </w:rPr>
        <w:tab/>
        <w:t>Multiple in-parallel services from one reader</w:t>
      </w:r>
    </w:p>
    <w:p w14:paraId="17D9942F" w14:textId="1EB8A52A" w:rsidR="00391173" w:rsidRDefault="00391173" w:rsidP="00391173">
      <w:pPr>
        <w:jc w:val="both"/>
      </w:pPr>
      <w:r>
        <w:t>To make the procedures work, it requires some signalling overhead and device complexity. For instance, service ID needs to be included in every R2D messages</w:t>
      </w:r>
      <w:r w:rsidR="00AE533A">
        <w:t>. A</w:t>
      </w:r>
      <w:r>
        <w:t xml:space="preserve">nd the devices need to maintain the association between service ID and the radio resource allocated for the service ID, as well as to remember the access/data transmission status of each service. Meanwhile, the interleaving services also need the devices to maintain monitoring for a longer time, which </w:t>
      </w:r>
      <w:r w:rsidR="00F00FB4">
        <w:t xml:space="preserve">may </w:t>
      </w:r>
      <w:r>
        <w:t xml:space="preserve">lead to higher failure rate due to lack of energy. </w:t>
      </w:r>
    </w:p>
    <w:p w14:paraId="1116918A" w14:textId="2CA4F62E" w:rsidR="00391173" w:rsidRDefault="00391173" w:rsidP="00391173">
      <w:pPr>
        <w:pStyle w:val="Observation-HW"/>
      </w:pPr>
      <w:r>
        <w:t xml:space="preserve">Observation </w:t>
      </w:r>
      <w:r w:rsidR="00A17E77">
        <w:t>5</w:t>
      </w:r>
      <w:r>
        <w:t>:</w:t>
      </w:r>
      <w:r>
        <w:tab/>
        <w:t xml:space="preserve">Supporting parallel services under one reader will introduce device complexity and much more memory size </w:t>
      </w:r>
      <w:r w:rsidR="00F00FB4">
        <w:t xml:space="preserve">usage </w:t>
      </w:r>
      <w:r>
        <w:t>to maintain multiple sets of AS configuration and context associated with multiple services, and also will add more R2D signalling overheads to include service ID in each R2D message.</w:t>
      </w:r>
    </w:p>
    <w:p w14:paraId="2E18E0B7" w14:textId="79A51D6B" w:rsidR="00391173" w:rsidRDefault="00391173" w:rsidP="00391173">
      <w:pPr>
        <w:pStyle w:val="ListParagraph"/>
        <w:ind w:firstLineChars="0" w:firstLine="0"/>
        <w:rPr>
          <w:rFonts w:eastAsiaTheme="minorEastAsia"/>
        </w:rPr>
      </w:pPr>
      <w:r>
        <w:t xml:space="preserve">As analysed above, one/multi-reader in-parallel services should not be supported or not be prioritized to </w:t>
      </w:r>
      <w:r w:rsidR="00F00FB4">
        <w:t xml:space="preserve">be </w:t>
      </w:r>
      <w:r>
        <w:t>consider</w:t>
      </w:r>
      <w:r w:rsidR="00F00FB4">
        <w:t>ed</w:t>
      </w:r>
      <w:r>
        <w:t>. T</w:t>
      </w:r>
      <w:r>
        <w:rPr>
          <w:rFonts w:eastAsia="等线"/>
          <w:lang w:eastAsia="zh-CN"/>
        </w:rPr>
        <w:t>he baseline should be that there is no time-domain interleaving when performing multiple service processes from one reader or multiple readers in the overlapping coverage. Therefore, t</w:t>
      </w:r>
      <w:r>
        <w:t>here is no need to include the reader ID in A-IoT paging message.</w:t>
      </w:r>
    </w:p>
    <w:p w14:paraId="0B7198E9" w14:textId="405BBEE3" w:rsidR="00391173" w:rsidRDefault="00391173" w:rsidP="00391173">
      <w:pPr>
        <w:pStyle w:val="Proposal-HW"/>
      </w:pPr>
      <w:r>
        <w:lastRenderedPageBreak/>
        <w:t xml:space="preserve">Proposal </w:t>
      </w:r>
      <w:r w:rsidR="00A17E77">
        <w:t>3</w:t>
      </w:r>
      <w:r>
        <w:t>:</w:t>
      </w:r>
      <w:r>
        <w:tab/>
      </w:r>
      <w:r w:rsidR="00A60A8F">
        <w:t>The p</w:t>
      </w:r>
      <w:r>
        <w:t xml:space="preserve">arallel/interleaved services under one reader is not </w:t>
      </w:r>
      <w:r w:rsidR="00A60A8F">
        <w:t>considered</w:t>
      </w:r>
      <w:r>
        <w:t>.</w:t>
      </w:r>
    </w:p>
    <w:p w14:paraId="2003E09D" w14:textId="1AB6F338" w:rsidR="00391173" w:rsidRDefault="00391173" w:rsidP="00391173">
      <w:pPr>
        <w:pStyle w:val="Heading2"/>
        <w:rPr>
          <w:rFonts w:eastAsia="宋体"/>
          <w:lang w:eastAsia="zh-CN"/>
        </w:rPr>
      </w:pPr>
      <w:r>
        <w:rPr>
          <w:rFonts w:eastAsia="宋体"/>
          <w:lang w:eastAsia="zh-CN"/>
        </w:rPr>
        <w:t>2.</w:t>
      </w:r>
      <w:r w:rsidR="00782369">
        <w:rPr>
          <w:rFonts w:eastAsia="宋体"/>
          <w:lang w:eastAsia="zh-CN"/>
        </w:rPr>
        <w:t>3</w:t>
      </w:r>
      <w:r>
        <w:rPr>
          <w:rFonts w:eastAsia="宋体"/>
          <w:lang w:eastAsia="zh-CN"/>
        </w:rPr>
        <w:tab/>
        <w:t>Energy harvesting/device unavailability</w:t>
      </w:r>
    </w:p>
    <w:p w14:paraId="4FCCA2D4" w14:textId="77777777" w:rsidR="00391173" w:rsidRDefault="00391173" w:rsidP="00391173">
      <w:pPr>
        <w:rPr>
          <w:rFonts w:eastAsia="宋体"/>
          <w:lang w:eastAsia="zh-CN"/>
        </w:rPr>
      </w:pPr>
      <w:r>
        <w:rPr>
          <w:rFonts w:eastAsia="宋体" w:hint="eastAsia"/>
          <w:lang w:eastAsia="zh-CN"/>
        </w:rPr>
        <w:t>I</w:t>
      </w:r>
      <w:r>
        <w:rPr>
          <w:rFonts w:eastAsia="宋体"/>
          <w:lang w:eastAsia="zh-CN"/>
        </w:rPr>
        <w:t>n RAN2#126 meeting, agreements on device availability were:</w:t>
      </w:r>
    </w:p>
    <w:tbl>
      <w:tblPr>
        <w:tblStyle w:val="TableGrid"/>
        <w:tblW w:w="0" w:type="auto"/>
        <w:tblLook w:val="04A0" w:firstRow="1" w:lastRow="0" w:firstColumn="1" w:lastColumn="0" w:noHBand="0" w:noVBand="1"/>
      </w:tblPr>
      <w:tblGrid>
        <w:gridCol w:w="9631"/>
      </w:tblGrid>
      <w:tr w:rsidR="00391173" w14:paraId="29F25EAB" w14:textId="77777777" w:rsidTr="008A0685">
        <w:tc>
          <w:tcPr>
            <w:tcW w:w="9631" w:type="dxa"/>
          </w:tcPr>
          <w:p w14:paraId="788F76E7" w14:textId="77777777" w:rsidR="00391173" w:rsidRDefault="00391173" w:rsidP="008A0685">
            <w:pPr>
              <w:rPr>
                <w:rFonts w:eastAsia="等线"/>
                <w:b/>
              </w:rPr>
            </w:pPr>
            <w:r>
              <w:rPr>
                <w:rFonts w:eastAsia="等线"/>
                <w:b/>
              </w:rPr>
              <w:t>RAN2#126 agreement:</w:t>
            </w:r>
          </w:p>
          <w:p w14:paraId="32D17E98" w14:textId="77777777" w:rsidR="00391173" w:rsidRDefault="00391173" w:rsidP="008A0685">
            <w:pPr>
              <w:rPr>
                <w:lang w:eastAsia="en-GB"/>
              </w:rPr>
            </w:pPr>
            <w:r>
              <w:rPr>
                <w:lang w:eastAsia="en-GB"/>
              </w:rPr>
              <w:t xml:space="preserve">From RAN2 perspective, </w:t>
            </w:r>
            <w:r w:rsidRPr="00185824">
              <w:rPr>
                <w:lang w:eastAsia="en-GB"/>
              </w:rPr>
              <w:t>we assume the device can receive as long as there is enough energy.  We will wait for RAN1 further progress on device monitoring details</w:t>
            </w:r>
            <w:r>
              <w:rPr>
                <w:lang w:eastAsia="en-GB"/>
              </w:rPr>
              <w:t>.</w:t>
            </w:r>
          </w:p>
        </w:tc>
      </w:tr>
    </w:tbl>
    <w:p w14:paraId="52268A9B" w14:textId="4E668350" w:rsidR="00391173" w:rsidRDefault="00391173" w:rsidP="00391173">
      <w:pPr>
        <w:rPr>
          <w:rFonts w:eastAsia="宋体"/>
          <w:lang w:eastAsia="zh-CN"/>
        </w:rPr>
      </w:pPr>
      <w:r>
        <w:rPr>
          <w:rFonts w:eastAsia="宋体"/>
          <w:lang w:eastAsia="zh-CN"/>
        </w:rPr>
        <w:t xml:space="preserve">In R1-2409187 </w:t>
      </w:r>
      <w:r>
        <w:rPr>
          <w:rFonts w:eastAsia="宋体"/>
          <w:lang w:eastAsia="zh-CN"/>
        </w:rPr>
        <w:fldChar w:fldCharType="begin"/>
      </w:r>
      <w:r>
        <w:rPr>
          <w:rFonts w:eastAsia="宋体"/>
          <w:lang w:eastAsia="zh-CN"/>
        </w:rPr>
        <w:instrText xml:space="preserve"> REF _Ref181268323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w:t>
      </w:r>
      <w:r>
        <w:t xml:space="preserve">RAN1 endorsed </w:t>
      </w:r>
      <w:r>
        <w:rPr>
          <w:bCs/>
        </w:rPr>
        <w:t>TP</w:t>
      </w:r>
      <w:r>
        <w:rPr>
          <w:szCs w:val="22"/>
        </w:rPr>
        <w:t xml:space="preserve"> on section 6.2 Device (un)availability for TR 38.</w:t>
      </w:r>
      <w:r>
        <w:rPr>
          <w:rFonts w:eastAsia="宋体" w:hint="eastAsia"/>
          <w:szCs w:val="22"/>
        </w:rPr>
        <w:t>769</w:t>
      </w:r>
      <w:r>
        <w:rPr>
          <w:szCs w:val="22"/>
        </w:rPr>
        <w:t xml:space="preserve"> is presented. </w:t>
      </w:r>
      <w:r>
        <w:rPr>
          <w:rFonts w:eastAsia="宋体"/>
          <w:lang w:eastAsia="zh-CN"/>
        </w:rPr>
        <w:t>RAN1 discussed device (un)availability</w:t>
      </w:r>
      <w:r>
        <w:rPr>
          <w:rFonts w:eastAsia="等线"/>
          <w:lang w:eastAsia="en-US"/>
        </w:rPr>
        <w:t xml:space="preserve"> due to energy harvesting</w:t>
      </w:r>
      <w:r>
        <w:rPr>
          <w:rFonts w:eastAsia="宋体"/>
          <w:lang w:eastAsia="zh-CN"/>
        </w:rPr>
        <w:t>, and solutions from multiple companies under two directions were captured</w:t>
      </w:r>
      <w:r w:rsidR="00F00FB4">
        <w:rPr>
          <w:rFonts w:eastAsia="宋体"/>
          <w:lang w:eastAsia="zh-CN"/>
        </w:rPr>
        <w:t>,</w:t>
      </w:r>
      <w:r>
        <w:rPr>
          <w:rFonts w:eastAsia="宋体"/>
          <w:lang w:eastAsia="zh-CN"/>
        </w:rPr>
        <w:t xml:space="preserve"> but not for down-selection.</w:t>
      </w:r>
      <w:r>
        <w:rPr>
          <w:rFonts w:eastAsia="宋体" w:hint="eastAsia"/>
          <w:lang w:eastAsia="zh-CN"/>
        </w:rPr>
        <w:t xml:space="preserve"> </w:t>
      </w:r>
      <w:r>
        <w:rPr>
          <w:rFonts w:eastAsia="宋体"/>
          <w:lang w:eastAsia="zh-CN"/>
        </w:rPr>
        <w:t xml:space="preserve">Based on the RAN1 progress, device unavailability issue is not suitable to be discussed by RAN2 in the current study phase due to the </w:t>
      </w:r>
      <w:r>
        <w:rPr>
          <w:rFonts w:eastAsia="宋体" w:hint="eastAsia"/>
          <w:lang w:eastAsia="zh-CN"/>
        </w:rPr>
        <w:t>divergence</w:t>
      </w:r>
      <w:r>
        <w:rPr>
          <w:rFonts w:eastAsia="宋体"/>
          <w:lang w:eastAsia="zh-CN"/>
        </w:rPr>
        <w:t xml:space="preserve"> of solutions.</w:t>
      </w:r>
    </w:p>
    <w:tbl>
      <w:tblPr>
        <w:tblStyle w:val="TableGrid"/>
        <w:tblW w:w="0" w:type="auto"/>
        <w:tblLook w:val="04A0" w:firstRow="1" w:lastRow="0" w:firstColumn="1" w:lastColumn="0" w:noHBand="0" w:noVBand="1"/>
      </w:tblPr>
      <w:tblGrid>
        <w:gridCol w:w="9631"/>
      </w:tblGrid>
      <w:tr w:rsidR="00391173" w14:paraId="5DF23769" w14:textId="77777777" w:rsidTr="008A0685">
        <w:tc>
          <w:tcPr>
            <w:tcW w:w="9631" w:type="dxa"/>
          </w:tcPr>
          <w:p w14:paraId="2BA036E6" w14:textId="77777777" w:rsidR="00391173" w:rsidRDefault="00391173" w:rsidP="008A0685">
            <w:pPr>
              <w:keepNext/>
              <w:keepLines/>
              <w:spacing w:before="180" w:after="180"/>
              <w:ind w:left="1134" w:hanging="1134"/>
              <w:outlineLvl w:val="0"/>
              <w:rPr>
                <w:rFonts w:ascii="Arial" w:eastAsia="等线" w:hAnsi="Arial"/>
                <w:sz w:val="32"/>
                <w:szCs w:val="32"/>
                <w:lang w:eastAsia="en-US"/>
              </w:rPr>
            </w:pPr>
            <w:r>
              <w:rPr>
                <w:rFonts w:ascii="Arial" w:eastAsia="等线" w:hAnsi="Arial" w:hint="eastAsia"/>
                <w:sz w:val="32"/>
                <w:szCs w:val="32"/>
                <w:lang w:eastAsia="en-US"/>
              </w:rPr>
              <w:t>6.2</w:t>
            </w:r>
            <w:r>
              <w:rPr>
                <w:rFonts w:ascii="Arial" w:eastAsia="等线" w:hAnsi="Arial" w:hint="eastAsia"/>
                <w:sz w:val="32"/>
                <w:szCs w:val="32"/>
                <w:lang w:eastAsia="en-US"/>
              </w:rPr>
              <w:tab/>
              <w:t>Device (un)availability</w:t>
            </w:r>
          </w:p>
          <w:p w14:paraId="3C66E02F" w14:textId="77777777" w:rsidR="00391173" w:rsidRDefault="00391173" w:rsidP="008A0685">
            <w:pPr>
              <w:spacing w:after="180"/>
              <w:rPr>
                <w:rFonts w:eastAsia="等线"/>
                <w:lang w:eastAsia="en-US"/>
              </w:rPr>
            </w:pPr>
            <w:r>
              <w:rPr>
                <w:rFonts w:eastAsia="等线"/>
                <w:lang w:eastAsia="en-US"/>
              </w:rPr>
              <w:t>The following directions, not for down-selection, are studied regarding the potential impact of device unavailability due to energy harvesting:</w:t>
            </w:r>
          </w:p>
          <w:p w14:paraId="51B3419E" w14:textId="77777777" w:rsidR="00391173" w:rsidRDefault="00391173" w:rsidP="008A0685">
            <w:pPr>
              <w:keepLines/>
              <w:spacing w:after="180"/>
              <w:ind w:left="1702" w:hanging="1418"/>
              <w:rPr>
                <w:rFonts w:eastAsia="等线"/>
                <w:lang w:eastAsia="en-US"/>
              </w:rPr>
            </w:pPr>
            <w:r>
              <w:rPr>
                <w:rFonts w:eastAsia="等线"/>
                <w:lang w:eastAsia="en-US"/>
              </w:rPr>
              <w:t>Direction 1:</w:t>
            </w:r>
            <w:r>
              <w:rPr>
                <w:rFonts w:eastAsia="等线"/>
                <w:lang w:eastAsia="en-US"/>
              </w:rPr>
              <w:tab/>
              <w:t>Reader does not provide information to a device regarding when the device may become available/unavailable.</w:t>
            </w:r>
          </w:p>
          <w:p w14:paraId="64E91C5E" w14:textId="77777777" w:rsidR="00391173" w:rsidRDefault="00391173" w:rsidP="008A0685">
            <w:pPr>
              <w:keepLines/>
              <w:spacing w:after="180"/>
              <w:ind w:left="1702" w:hanging="1418"/>
              <w:rPr>
                <w:rFonts w:eastAsia="等线"/>
              </w:rPr>
            </w:pPr>
            <w:bookmarkStart w:id="7" w:name="OLE_LINK1"/>
            <w:r>
              <w:rPr>
                <w:rFonts w:eastAsia="等线"/>
                <w:lang w:eastAsia="en-US"/>
              </w:rPr>
              <w:t>Direction 2:</w:t>
            </w:r>
            <w:r>
              <w:rPr>
                <w:rFonts w:eastAsia="等线"/>
                <w:lang w:eastAsia="en-US"/>
              </w:rPr>
              <w:tab/>
              <w:t>Reader can provide information to a device based on which the device may become available/unavailable.</w:t>
            </w:r>
            <w:bookmarkEnd w:id="7"/>
          </w:p>
        </w:tc>
      </w:tr>
    </w:tbl>
    <w:p w14:paraId="30449B40" w14:textId="7CE0B5B4" w:rsidR="00391173" w:rsidRDefault="00391173" w:rsidP="00391173">
      <w:pPr>
        <w:pStyle w:val="Observation-HW"/>
        <w:rPr>
          <w:rFonts w:eastAsia="宋体"/>
          <w:lang w:eastAsia="zh-CN"/>
        </w:rPr>
      </w:pPr>
      <w:r>
        <w:t xml:space="preserve">Observation </w:t>
      </w:r>
      <w:r w:rsidR="007A4A93">
        <w:t>6</w:t>
      </w:r>
      <w:r>
        <w:t>:</w:t>
      </w:r>
      <w:r>
        <w:tab/>
      </w:r>
      <w:r w:rsidR="005A7148">
        <w:t>T</w:t>
      </w:r>
      <w:r>
        <w:t xml:space="preserve">he RAN1 </w:t>
      </w:r>
      <w:r w:rsidR="005A7148">
        <w:t xml:space="preserve">conclusion </w:t>
      </w:r>
      <w:r>
        <w:t xml:space="preserve">is NOT sufficient to trigger and does NOT </w:t>
      </w:r>
      <w:r w:rsidR="00732165">
        <w:t>require</w:t>
      </w:r>
      <w:r>
        <w:t xml:space="preserve"> some RAN2 discussion in study phase</w:t>
      </w:r>
      <w:r w:rsidR="00D15059">
        <w:t>,</w:t>
      </w:r>
      <w:r>
        <w:t xml:space="preserve"> </w:t>
      </w:r>
      <w:r w:rsidR="00F00FB4">
        <w:t>in regards</w:t>
      </w:r>
      <w:r w:rsidR="00F00FB4" w:rsidDel="00F00FB4">
        <w:t xml:space="preserve"> </w:t>
      </w:r>
      <w:r>
        <w:t>to the energy harvesting/device unavailability.</w:t>
      </w:r>
    </w:p>
    <w:p w14:paraId="5304B380" w14:textId="77777777" w:rsidR="00391173" w:rsidRDefault="00391173" w:rsidP="00391173">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66719C0" w14:textId="77777777" w:rsidR="00391173" w:rsidRDefault="00391173" w:rsidP="00391173">
      <w:pPr>
        <w:textAlignment w:val="auto"/>
        <w:rPr>
          <w:lang w:eastAsia="en-GB"/>
        </w:rPr>
      </w:pPr>
      <w:r>
        <w:rPr>
          <w:lang w:eastAsia="en-GB"/>
        </w:rPr>
        <w:t>This contribution makes the following proposals:</w:t>
      </w:r>
    </w:p>
    <w:p w14:paraId="03C3F6DC" w14:textId="77777777" w:rsidR="00732165" w:rsidRDefault="00732165" w:rsidP="00732165">
      <w:pPr>
        <w:pStyle w:val="Observation-HW"/>
      </w:pPr>
      <w:r>
        <w:t>Observation 1:</w:t>
      </w:r>
      <w:r>
        <w:tab/>
        <w:t>RAN2 assumes the limitation paging and any other R2D message should follow the physical layer maximum TBS value (</w:t>
      </w:r>
      <w:proofErr w:type="gramStart"/>
      <w:r>
        <w:t>e.g.</w:t>
      </w:r>
      <w:proofErr w:type="gramEnd"/>
      <w:r>
        <w:t xml:space="preserve"> around 1000 bits).</w:t>
      </w:r>
    </w:p>
    <w:p w14:paraId="0FE1FA7D" w14:textId="77777777" w:rsidR="00732165" w:rsidRDefault="00732165" w:rsidP="00732165">
      <w:pPr>
        <w:pStyle w:val="Observation-HW"/>
        <w:rPr>
          <w:rFonts w:eastAsia="等线"/>
          <w:lang w:eastAsia="zh-CN"/>
        </w:rPr>
      </w:pPr>
      <w:r>
        <w:t>Observation 2:</w:t>
      </w:r>
      <w:r>
        <w:tab/>
        <w:t>The A-IoT paging message size</w:t>
      </w:r>
      <w:r w:rsidRPr="00FC1460">
        <w:t xml:space="preserve"> </w:t>
      </w:r>
      <w:r>
        <w:t>limitation/capacity discussion should be postponed to stage-3 phase (e.g., after the decision on the content of A-IoT paging message).</w:t>
      </w:r>
    </w:p>
    <w:p w14:paraId="4925140E" w14:textId="77777777" w:rsidR="00732165" w:rsidRDefault="00732165" w:rsidP="00732165">
      <w:pPr>
        <w:pStyle w:val="Observation-HW"/>
      </w:pPr>
      <w:r>
        <w:t>Observation 3:</w:t>
      </w:r>
      <w:r>
        <w:tab/>
        <w:t>To avoid the interference to device’s R2D reception, two readers should not transmit R2D messages at the same time.</w:t>
      </w:r>
    </w:p>
    <w:p w14:paraId="2E7F392D" w14:textId="77777777" w:rsidR="00732165" w:rsidRDefault="00732165" w:rsidP="00732165">
      <w:pPr>
        <w:pStyle w:val="Observation-HW"/>
      </w:pPr>
      <w:r>
        <w:t>Observation 4:</w:t>
      </w:r>
      <w:r>
        <w:tab/>
      </w:r>
      <w:r w:rsidRPr="0049656C">
        <w:t>E</w:t>
      </w:r>
      <w:r>
        <w:t xml:space="preserve">ven in the overlapping area, the devices do not need to differentiate different readers, but just monitor and handle the paging messages it successfully received, which means reader ID is not needed to be included in paging message.   </w:t>
      </w:r>
    </w:p>
    <w:p w14:paraId="646F7A06" w14:textId="77777777" w:rsidR="00732165" w:rsidRDefault="00732165" w:rsidP="00732165">
      <w:pPr>
        <w:pStyle w:val="Observation-HW"/>
      </w:pPr>
      <w:r>
        <w:t>Observation 5:</w:t>
      </w:r>
      <w:r>
        <w:tab/>
        <w:t>Supporting parallel services under one reader will introduce device complexity and much more memory size usage to maintain multiple sets of AS configuration and context associated with multiple services, and also will add more R2D signalling overheads to include service ID in each R2D message.</w:t>
      </w:r>
    </w:p>
    <w:p w14:paraId="00086AF4" w14:textId="77777777" w:rsidR="00732165" w:rsidRDefault="00732165" w:rsidP="00732165">
      <w:pPr>
        <w:pStyle w:val="Observation-HW"/>
        <w:rPr>
          <w:rFonts w:eastAsia="宋体"/>
          <w:lang w:eastAsia="zh-CN"/>
        </w:rPr>
      </w:pPr>
      <w:r>
        <w:t>Observation 6:</w:t>
      </w:r>
      <w:r>
        <w:tab/>
        <w:t>The RAN1 conclusion is NOT sufficient to trigger and does NOT require some RAN2 discussion in study phase, in regards</w:t>
      </w:r>
      <w:r w:rsidDel="00F00FB4">
        <w:t xml:space="preserve"> </w:t>
      </w:r>
      <w:r>
        <w:t>to the energy harvesting/device unavailability.</w:t>
      </w:r>
    </w:p>
    <w:p w14:paraId="2D53EC6E" w14:textId="0195E6EB" w:rsidR="00391173" w:rsidRDefault="00732165" w:rsidP="00391173">
      <w:pPr>
        <w:textAlignment w:val="auto"/>
        <w:rPr>
          <w:i/>
          <w:color w:val="FF0000"/>
          <w:u w:val="single"/>
          <w:lang w:eastAsia="en-GB"/>
        </w:rPr>
      </w:pPr>
      <w:r w:rsidRPr="0039287A">
        <w:rPr>
          <w:i/>
          <w:color w:val="FF0000"/>
          <w:u w:val="single"/>
          <w:lang w:eastAsia="en-GB"/>
        </w:rPr>
        <w:t>Paging message content to device</w:t>
      </w:r>
    </w:p>
    <w:p w14:paraId="0FE57C63" w14:textId="77777777" w:rsidR="00732165" w:rsidRDefault="00732165" w:rsidP="00732165">
      <w:pPr>
        <w:pStyle w:val="Proposal-HW"/>
      </w:pPr>
      <w:r>
        <w:t>Proposal 1:</w:t>
      </w:r>
      <w:r>
        <w:tab/>
        <w:t>There is no need to include service/command type as the explicit AS layer information in A-IoT paging message.</w:t>
      </w:r>
    </w:p>
    <w:p w14:paraId="65DADC4F" w14:textId="77777777" w:rsidR="00732165" w:rsidRDefault="00732165" w:rsidP="00732165">
      <w:pPr>
        <w:pStyle w:val="Proposal-HW"/>
      </w:pPr>
      <w:r>
        <w:lastRenderedPageBreak/>
        <w:t>Proposal 2:</w:t>
      </w:r>
      <w:r>
        <w:tab/>
        <w:t>Reader ID is not needed to be included in paging message. For multiple reader overlapping area handling, it can be further discussed together with how to handle the redundant paging response issue.</w:t>
      </w:r>
    </w:p>
    <w:p w14:paraId="36439233" w14:textId="77777777" w:rsidR="00732165" w:rsidRDefault="00732165" w:rsidP="00732165">
      <w:pPr>
        <w:pStyle w:val="Proposal-HW"/>
      </w:pPr>
      <w:r>
        <w:t>Proposal 3:</w:t>
      </w:r>
      <w:r>
        <w:tab/>
        <w:t>The parallel/interleaved services under one reader is not considered.</w:t>
      </w:r>
    </w:p>
    <w:p w14:paraId="5392C119" w14:textId="77777777" w:rsidR="00391173" w:rsidRDefault="00391173" w:rsidP="00391173">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4006B180" w14:textId="77777777" w:rsidR="00391173" w:rsidRDefault="00391173" w:rsidP="00391173">
      <w:pPr>
        <w:numPr>
          <w:ilvl w:val="0"/>
          <w:numId w:val="9"/>
        </w:numPr>
        <w:overflowPunct/>
        <w:autoSpaceDE/>
        <w:autoSpaceDN/>
        <w:adjustRightInd/>
        <w:textAlignment w:val="auto"/>
        <w:rPr>
          <w:rFonts w:cs="Calibri"/>
          <w:sz w:val="22"/>
          <w:lang w:eastAsia="zh-CN"/>
        </w:rPr>
      </w:pPr>
      <w:bookmarkStart w:id="8" w:name="_Ref181268323"/>
      <w:r>
        <w:rPr>
          <w:rFonts w:cs="Calibri"/>
          <w:lang w:eastAsia="zh-CN"/>
        </w:rPr>
        <w:t>R1-2409187, TP on section 6.2 Device (un)availability for TR 38.769, Oct., 2024</w:t>
      </w:r>
      <w:bookmarkEnd w:id="8"/>
    </w:p>
    <w:p w14:paraId="5CB741ED" w14:textId="65DFD601" w:rsidR="00CA6CBE" w:rsidRPr="00391173" w:rsidRDefault="00CA6CBE" w:rsidP="00391173"/>
    <w:sectPr w:rsidR="00CA6CBE" w:rsidRPr="0039117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95658" w14:textId="77777777" w:rsidR="00275F34" w:rsidRPr="00982682" w:rsidRDefault="00275F34">
      <w:r w:rsidRPr="00982682">
        <w:separator/>
      </w:r>
    </w:p>
  </w:endnote>
  <w:endnote w:type="continuationSeparator" w:id="0">
    <w:p w14:paraId="66942271" w14:textId="77777777" w:rsidR="00275F34" w:rsidRPr="00982682" w:rsidRDefault="00275F34">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20002A87" w:usb1="80000000" w:usb2="00000008"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s²Ó©úÅé"/>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D2FB0" w14:textId="77777777" w:rsidR="00275F34" w:rsidRPr="00982682" w:rsidRDefault="00275F34">
      <w:r w:rsidRPr="00982682">
        <w:separator/>
      </w:r>
    </w:p>
  </w:footnote>
  <w:footnote w:type="continuationSeparator" w:id="0">
    <w:p w14:paraId="7F5FE5AB" w14:textId="77777777" w:rsidR="00275F34" w:rsidRPr="00982682" w:rsidRDefault="00275F34">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6"/>
  </w:num>
  <w:num w:numId="3">
    <w:abstractNumId w:val="3"/>
  </w:num>
  <w:num w:numId="4">
    <w:abstractNumId w:val="9"/>
  </w:num>
  <w:num w:numId="5">
    <w:abstractNumId w:val="2"/>
  </w:num>
  <w:num w:numId="6">
    <w:abstractNumId w:val="8"/>
  </w:num>
  <w:num w:numId="7">
    <w:abstractNumId w:val="12"/>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10"/>
  </w:num>
  <w:num w:numId="14">
    <w:abstractNumId w:val="7"/>
  </w:num>
  <w:num w:numId="15">
    <w:abstractNumId w:val="4"/>
  </w:num>
  <w:num w:numId="16">
    <w:abstractNumId w:val="4"/>
  </w:num>
  <w:num w:numId="17">
    <w:abstractNumId w:val="4"/>
  </w:num>
  <w:num w:numId="18">
    <w:abstractNumId w:val="14"/>
  </w:num>
  <w:num w:numId="19">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0C2"/>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1DBF"/>
    <w:rsid w:val="000D2EAC"/>
    <w:rsid w:val="000D434E"/>
    <w:rsid w:val="000D45B0"/>
    <w:rsid w:val="000D4BCF"/>
    <w:rsid w:val="000D58AB"/>
    <w:rsid w:val="000D5B51"/>
    <w:rsid w:val="000D5D09"/>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5A6"/>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1EF"/>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240"/>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3F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C6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5F34"/>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173"/>
    <w:rsid w:val="003915E3"/>
    <w:rsid w:val="0039287A"/>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3DE3"/>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1EF"/>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DBC"/>
    <w:rsid w:val="00543E6C"/>
    <w:rsid w:val="005441BA"/>
    <w:rsid w:val="00545ADB"/>
    <w:rsid w:val="00545B39"/>
    <w:rsid w:val="005467DF"/>
    <w:rsid w:val="005468DA"/>
    <w:rsid w:val="0055066B"/>
    <w:rsid w:val="0055123E"/>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148"/>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E7EF2"/>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604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437"/>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2165"/>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369"/>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A93"/>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4477"/>
    <w:rsid w:val="008546F6"/>
    <w:rsid w:val="00854E13"/>
    <w:rsid w:val="00856178"/>
    <w:rsid w:val="00856426"/>
    <w:rsid w:val="00857149"/>
    <w:rsid w:val="008574AA"/>
    <w:rsid w:val="00857E5D"/>
    <w:rsid w:val="00860BCE"/>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4E08"/>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388"/>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2EC6"/>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F87"/>
    <w:rsid w:val="00983173"/>
    <w:rsid w:val="0098317A"/>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17E77"/>
    <w:rsid w:val="00A20DD1"/>
    <w:rsid w:val="00A20FF8"/>
    <w:rsid w:val="00A21E53"/>
    <w:rsid w:val="00A2336E"/>
    <w:rsid w:val="00A23605"/>
    <w:rsid w:val="00A2366C"/>
    <w:rsid w:val="00A241F3"/>
    <w:rsid w:val="00A247C5"/>
    <w:rsid w:val="00A2718D"/>
    <w:rsid w:val="00A27BDD"/>
    <w:rsid w:val="00A30413"/>
    <w:rsid w:val="00A306A9"/>
    <w:rsid w:val="00A31394"/>
    <w:rsid w:val="00A314A2"/>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0A8F"/>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E32"/>
    <w:rsid w:val="00AE127D"/>
    <w:rsid w:val="00AE32AE"/>
    <w:rsid w:val="00AE3365"/>
    <w:rsid w:val="00AE4726"/>
    <w:rsid w:val="00AE4995"/>
    <w:rsid w:val="00AE5151"/>
    <w:rsid w:val="00AE533A"/>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5884"/>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25F"/>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3D12"/>
    <w:rsid w:val="00D05BDF"/>
    <w:rsid w:val="00D0629C"/>
    <w:rsid w:val="00D0631E"/>
    <w:rsid w:val="00D0650E"/>
    <w:rsid w:val="00D07103"/>
    <w:rsid w:val="00D10153"/>
    <w:rsid w:val="00D10876"/>
    <w:rsid w:val="00D10A60"/>
    <w:rsid w:val="00D11024"/>
    <w:rsid w:val="00D12DC2"/>
    <w:rsid w:val="00D13946"/>
    <w:rsid w:val="00D13A65"/>
    <w:rsid w:val="00D15059"/>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5E9"/>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320"/>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12B0"/>
    <w:rsid w:val="00D9134D"/>
    <w:rsid w:val="00D91405"/>
    <w:rsid w:val="00D9161F"/>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078"/>
    <w:rsid w:val="00DB551C"/>
    <w:rsid w:val="00DB5F5D"/>
    <w:rsid w:val="00DB6991"/>
    <w:rsid w:val="00DB6AA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559E"/>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428A"/>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5C32"/>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648"/>
    <w:rsid w:val="00E517FE"/>
    <w:rsid w:val="00E51C99"/>
    <w:rsid w:val="00E51EF0"/>
    <w:rsid w:val="00E520AF"/>
    <w:rsid w:val="00E527EF"/>
    <w:rsid w:val="00E54057"/>
    <w:rsid w:val="00E541C6"/>
    <w:rsid w:val="00E54913"/>
    <w:rsid w:val="00E54A4C"/>
    <w:rsid w:val="00E5663E"/>
    <w:rsid w:val="00E578F6"/>
    <w:rsid w:val="00E604D7"/>
    <w:rsid w:val="00E60FF9"/>
    <w:rsid w:val="00E611FE"/>
    <w:rsid w:val="00E61908"/>
    <w:rsid w:val="00E61AEB"/>
    <w:rsid w:val="00E61B3A"/>
    <w:rsid w:val="00E65304"/>
    <w:rsid w:val="00E657FE"/>
    <w:rsid w:val="00E66191"/>
    <w:rsid w:val="00E66A0D"/>
    <w:rsid w:val="00E674C2"/>
    <w:rsid w:val="00E675BA"/>
    <w:rsid w:val="00E6760D"/>
    <w:rsid w:val="00E7008F"/>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39A"/>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0FB4"/>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51B"/>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60"/>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5E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qFormat="1"/>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宋体"/>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B42223"/>
    <w:pPr>
      <w:numPr>
        <w:numId w:val="18"/>
      </w:numPr>
      <w:overflowPunct/>
      <w:autoSpaceDE/>
      <w:autoSpaceDN/>
      <w:adjustRightInd/>
      <w:ind w:leftChars="567" w:left="1417" w:hangingChars="141" w:hanging="283"/>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basedOn w:val="TableNormal"/>
    <w:uiPriority w:val="9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3911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C70A0A-81D8-4B48-A22F-AEAE90B53BAF}">
  <ds:schemaRefs>
    <ds:schemaRef ds:uri="http://schemas.openxmlformats.org/officeDocument/2006/bibliography"/>
  </ds:schemaRefs>
</ds:datastoreItem>
</file>

<file path=customXml/itemProps2.xml><?xml version="1.0" encoding="utf-8"?>
<ds:datastoreItem xmlns:ds="http://schemas.openxmlformats.org/officeDocument/2006/customXml" ds:itemID="{CFCD4377-F7B4-45A1-890B-B05DB8553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1874</Words>
  <Characters>10684</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Huawei Technologies Co.,Ltd.</Company>
  <LinksUpToDate>false</LinksUpToDate>
  <CharactersWithSpaces>12533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HiSilicon_Rui Wang</cp:lastModifiedBy>
  <cp:revision>2</cp:revision>
  <dcterms:created xsi:type="dcterms:W3CDTF">2024-11-08T06:25:00Z</dcterms:created>
  <dcterms:modified xsi:type="dcterms:W3CDTF">2024-11-08T06:25:00Z</dcterms:modified>
  <cp:version>Template_v3.1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1730947745</vt:lpwstr>
  </property>
</Properties>
</file>